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17B678" w14:textId="77777777" w:rsidR="00BE6552" w:rsidRDefault="00BE655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color w:val="000000"/>
        </w:rPr>
      </w:pPr>
    </w:p>
    <w:p w14:paraId="2B46F182" w14:textId="666F6D1F" w:rsidR="00BE6552" w:rsidRPr="00BC3B10" w:rsidRDefault="00000000" w:rsidP="00611922">
      <w:pPr>
        <w:spacing w:after="0" w:line="240" w:lineRule="auto"/>
        <w:jc w:val="center"/>
        <w:rPr>
          <w:rFonts w:eastAsia="Arial"/>
          <w:i/>
          <w:iCs/>
          <w:color w:val="000000"/>
        </w:rPr>
      </w:pPr>
      <w:r w:rsidRPr="00BC3B10">
        <w:rPr>
          <w:b/>
          <w:bCs/>
        </w:rPr>
        <w:t>Opis przedmiotu zamówienia</w:t>
      </w:r>
    </w:p>
    <w:p w14:paraId="265828A1" w14:textId="77777777" w:rsidR="00BC3B10" w:rsidRPr="00BC3B10" w:rsidRDefault="00BC3B1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Arial"/>
          <w:b/>
          <w:bCs/>
          <w:i/>
          <w:iCs/>
          <w:color w:val="000000"/>
        </w:rPr>
      </w:pPr>
      <w:r w:rsidRPr="00BC3B10">
        <w:rPr>
          <w:rFonts w:eastAsia="Arial"/>
          <w:b/>
          <w:bCs/>
          <w:i/>
          <w:iCs/>
          <w:color w:val="000000"/>
        </w:rPr>
        <w:t xml:space="preserve">na dostawę analizatora parametrów krytycznych </w:t>
      </w:r>
    </w:p>
    <w:p w14:paraId="4DFAC353" w14:textId="77777777" w:rsidR="00BC3B10" w:rsidRDefault="00BC3B1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Arial"/>
          <w:b/>
          <w:bCs/>
          <w:color w:val="000000"/>
        </w:rPr>
      </w:pPr>
    </w:p>
    <w:p w14:paraId="1038736D" w14:textId="77777777" w:rsidR="004E0F11" w:rsidRDefault="004E0F1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eastAsia="Arial"/>
          <w:b/>
          <w:bCs/>
          <w:color w:val="000000"/>
        </w:rPr>
      </w:pPr>
    </w:p>
    <w:p w14:paraId="453DD3E2" w14:textId="6002D847" w:rsidR="00BC3B10" w:rsidRPr="00BC3B10" w:rsidRDefault="00BC3B10" w:rsidP="00BC3B10">
      <w:pPr>
        <w:pBdr>
          <w:top w:val="nil"/>
          <w:left w:val="nil"/>
          <w:bottom w:val="nil"/>
          <w:right w:val="nil"/>
          <w:between w:val="nil"/>
        </w:pBdr>
        <w:ind w:left="284" w:firstLine="434"/>
        <w:jc w:val="both"/>
        <w:rPr>
          <w:rFonts w:eastAsia="Arial"/>
          <w:color w:val="000000"/>
        </w:rPr>
      </w:pPr>
      <w:r w:rsidRPr="00BC3B10">
        <w:t>Przedmiotem zamówienia jest dostawa, montaż i uruchomienie pełnowartościow</w:t>
      </w:r>
      <w:r>
        <w:t>ego</w:t>
      </w:r>
      <w:r w:rsidRPr="00BC3B10">
        <w:t>, fabrycznie now</w:t>
      </w:r>
      <w:r>
        <w:t>ego</w:t>
      </w:r>
      <w:r w:rsidRPr="00BC3B10">
        <w:t xml:space="preserve"> (na warunkach wynikających z opisu przedmiotu zamówienia), niebędąc</w:t>
      </w:r>
      <w:r>
        <w:t>ego</w:t>
      </w:r>
      <w:r w:rsidRPr="00BC3B10">
        <w:t xml:space="preserve"> próbką, nieuszkodzon</w:t>
      </w:r>
      <w:r>
        <w:t>ego</w:t>
      </w:r>
      <w:r w:rsidRPr="00BC3B10">
        <w:t>, nieregenerowan</w:t>
      </w:r>
      <w:r>
        <w:t>ego</w:t>
      </w:r>
      <w:r w:rsidRPr="00BC3B10">
        <w:t>, niemodyfikowan</w:t>
      </w:r>
      <w:r>
        <w:t>ego</w:t>
      </w:r>
      <w:r w:rsidRPr="00BC3B10">
        <w:t>, nie będąc</w:t>
      </w:r>
      <w:r>
        <w:t>ego</w:t>
      </w:r>
      <w:r w:rsidRPr="00BC3B10">
        <w:t xml:space="preserve"> uprzednio przedmiotem wystaw i prezentacji, kompletn</w:t>
      </w:r>
      <w:r>
        <w:t>ego</w:t>
      </w:r>
      <w:r w:rsidRPr="00BC3B10">
        <w:t xml:space="preserve"> i gotow</w:t>
      </w:r>
      <w:r>
        <w:t>ego</w:t>
      </w:r>
      <w:r w:rsidRPr="00BC3B10">
        <w:t xml:space="preserve"> do użycia po zamontowaniu (tj. bez konieczności jakichkolwiek dodatkowych zakupów i inwestycji), posiadając</w:t>
      </w:r>
      <w:r>
        <w:t>ego</w:t>
      </w:r>
      <w:r w:rsidRPr="00BC3B10">
        <w:t xml:space="preserve"> wymagane prawem atesty i certyfikaty dopuszczające do obrotu na terenie Unii Europejskiej, nieobciążon</w:t>
      </w:r>
      <w:r>
        <w:t>ego</w:t>
      </w:r>
      <w:r w:rsidRPr="00BC3B10">
        <w:t xml:space="preserve"> prawami osób lub podmiotów trzecich poniżej wyspecyfikowane</w:t>
      </w:r>
      <w:r>
        <w:t>go analizatora parametrów krytycznych – 1 sztuka</w:t>
      </w:r>
      <w:r w:rsidRPr="00BC3B10">
        <w:t>:</w:t>
      </w:r>
    </w:p>
    <w:p w14:paraId="6857E286" w14:textId="77777777" w:rsidR="00BE6552" w:rsidRDefault="00BE6552" w:rsidP="00BC3B1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</w:rPr>
      </w:pPr>
    </w:p>
    <w:tbl>
      <w:tblPr>
        <w:tblStyle w:val="a0"/>
        <w:tblW w:w="10075" w:type="dxa"/>
        <w:tblInd w:w="126" w:type="dxa"/>
        <w:tblLayout w:type="fixed"/>
        <w:tblLook w:val="0000" w:firstRow="0" w:lastRow="0" w:firstColumn="0" w:lastColumn="0" w:noHBand="0" w:noVBand="0"/>
      </w:tblPr>
      <w:tblGrid>
        <w:gridCol w:w="720"/>
        <w:gridCol w:w="5102"/>
        <w:gridCol w:w="1135"/>
        <w:gridCol w:w="1276"/>
        <w:gridCol w:w="1842"/>
      </w:tblGrid>
      <w:tr w:rsidR="00BE6552" w14:paraId="69180F2D" w14:textId="77777777">
        <w:trPr>
          <w:trHeight w:val="84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E9A194E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C98B05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Wymagane parametry techniczne i funkcjonalne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E715CE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Wartość wymagana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3C7B9F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Wartość oferowana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5F38F0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Punktacja</w:t>
            </w:r>
          </w:p>
        </w:tc>
      </w:tr>
      <w:tr w:rsidR="00BE6552" w14:paraId="4481945E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0B0FD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6B3A17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Automatyczny analizator parametrów krytycznych, rok produkcji nie wcześniejszy niż 2025, dokonujący w jednej próbce pomiaru: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>pH, p02, pCO2,Na, K, Ca, ctHb,Lac., Glu., ctBil. (elektroli</w:t>
            </w:r>
            <w:r>
              <w:rPr>
                <w:sz w:val="20"/>
                <w:szCs w:val="20"/>
              </w:rPr>
              <w:t>ty, gazometria, oksymetria, metabolity)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A06AC8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32D601D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ECCE9E9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Produkcja aparatu z 2026 r. – 2 pkt</w:t>
            </w:r>
          </w:p>
          <w:p w14:paraId="16368463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Produkcja aparatu z 2025 r. – 0 pkt</w:t>
            </w:r>
          </w:p>
        </w:tc>
      </w:tr>
      <w:tr w:rsidR="00BE6552" w14:paraId="68E9A76A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25C226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5960A23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Analizator parametrów krytycznych przeznaczony do badań w punkcie opieki nad pacjentem, do dostarczania ważnych informacji o stanie zdrowia w wymagających warunkach klinicznych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0FD4DA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2659DDE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660C10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697C3CE" w14:textId="77777777">
        <w:trPr>
          <w:trHeight w:val="50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C87309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2F1FED5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Możliwość rozszerzenia panelu pomiarowego o mocznik i kreatyninę.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8C9EDB3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B0A7F8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8BAEC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1C8E5BC9" w14:textId="77777777">
        <w:trPr>
          <w:trHeight w:val="50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3F8809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527EB6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Zakres pomiarowy dla wapnia zjonizowanego od 0,1 mmol/l.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D3E3D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D93D4B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11664D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39735805" w14:textId="77777777">
        <w:trPr>
          <w:trHeight w:val="49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63F042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04DD55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Analizator wyposażony we wbudowany czytnik kodów kreskowych umożliwiający identyfikację próbki.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ABD90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B29307" w14:textId="77777777" w:rsidR="00BE6552" w:rsidRDefault="00BE6552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EBF3C25" w14:textId="77777777" w:rsidR="00BE6552" w:rsidRDefault="00BE6552">
            <w:pPr>
              <w:widowControl w:val="0"/>
              <w:tabs>
                <w:tab w:val="left" w:pos="142"/>
              </w:tabs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6B6D6821" w14:textId="77777777">
        <w:trPr>
          <w:trHeight w:val="503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0485F8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943FE0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Maksymalnie 2 materiały zużywalne: osobne kasety odczynnikowe i kasety z elektrodami.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636AD7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067440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2A6934B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51452282" w14:textId="77777777">
        <w:trPr>
          <w:trHeight w:val="798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F40A98E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B59842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Automatyczna kontrola jakości przynajmniej 1 raz dziennie dla 3 poziomów kontroli – materiał kontrolny inny niż kalibracyjny.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9EF67E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630370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98793FD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7DB277C8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449A7A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B15DA6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wprowadzenia danych demograficznych pacjenta oraz wbudowana drukarka.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7629B0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E2EB02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5E88CA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20AECFF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AA420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B39827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Oprogramowanie w języku polskim.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E0DDF2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9AF5539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652A0B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1DE8DBE9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32B600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7CDCCA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Automatyczne kalibracje bez użycia butli gazowych.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D2F1378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0A8D3A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D8D179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4C269C1" w14:textId="77777777">
        <w:trPr>
          <w:trHeight w:val="696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9494207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76CBDA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Możliwość wyjęcia i ponownego użycia wszystkich kaset w analizatorze, bez utraty pozostałych w kasetach testów.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7744B6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93BDC6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AE455F4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602CD8A3" w14:textId="77777777">
        <w:trPr>
          <w:trHeight w:val="696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15FCB2F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3029B25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Czas uzyskania wiarygodnych wyników w ciągu minuty z próbek o małej objętości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606C8CF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D529C64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5469772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3DF961F" w14:textId="77777777">
        <w:trPr>
          <w:trHeight w:val="386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37FD87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9FC1EA" w14:textId="493566D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Objętość próbki do </w:t>
            </w:r>
            <w:r w:rsidR="00B160A7">
              <w:rPr>
                <w:sz w:val="20"/>
                <w:szCs w:val="20"/>
              </w:rPr>
              <w:t>50 mikrolitrów z kapilary</w:t>
            </w:r>
            <w:r>
              <w:rPr>
                <w:sz w:val="20"/>
                <w:szCs w:val="20"/>
              </w:rPr>
              <w:t xml:space="preserve"> (mała objętość)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DDF1DC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3871B9D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13B1D4C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061CCDB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38EEEDD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D6E78B1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Analizator z wbudowanym mieszadłem próbek gazometrycznych.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18E11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7EF696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C68ED2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45A14B3F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FCBABC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4949B96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Automatyczny system pobierania próbek </w:t>
            </w:r>
            <w:sdt>
              <w:sdtPr>
                <w:tag w:val="goog_rdk_3"/>
                <w:id w:val="-2079126066"/>
              </w:sdtPr>
              <w:sdtContent>
                <w:r>
                  <w:rPr>
                    <w:sz w:val="20"/>
                    <w:szCs w:val="20"/>
                  </w:rPr>
                  <w:t>(</w:t>
                </w:r>
                <w:sdt>
                  <w:sdtPr>
                    <w:tag w:val="goog_rdk_4"/>
                    <w:id w:val="-916257789"/>
                  </w:sdtPr>
                  <w:sdtContent/>
                </w:sdt>
                <w:sdt>
                  <w:sdtPr>
                    <w:tag w:val="goog_rdk_5"/>
                    <w:id w:val="-1402110589"/>
                  </w:sdtPr>
                  <w:sdtContent/>
                </w:sdt>
                <w:r>
                  <w:rPr>
                    <w:sz w:val="20"/>
                    <w:szCs w:val="20"/>
                  </w:rPr>
                  <w:t xml:space="preserve">tzw. automatyczny port próbek) </w:t>
                </w:r>
              </w:sdtContent>
            </w:sdt>
            <w:r>
              <w:rPr>
                <w:sz w:val="20"/>
                <w:szCs w:val="20"/>
              </w:rPr>
              <w:t xml:space="preserve">z funkcją wykrywania i usuwania skrzepów </w:t>
            </w:r>
            <w:sdt>
              <w:sdtPr>
                <w:tag w:val="goog_rdk_6"/>
                <w:id w:val="231420931"/>
              </w:sdtPr>
              <w:sdtContent/>
            </w:sdt>
            <w:sdt>
              <w:sdtPr>
                <w:tag w:val="goog_rdk_7"/>
                <w:id w:val="-1514701500"/>
              </w:sdtPr>
              <w:sdtContent/>
            </w:sdt>
            <w:sdt>
              <w:sdtPr>
                <w:tag w:val="goog_rdk_8"/>
                <w:id w:val="1619432315"/>
              </w:sdtPr>
              <w:sdtContent/>
            </w:sdt>
            <w:r>
              <w:rPr>
                <w:sz w:val="20"/>
                <w:szCs w:val="20"/>
              </w:rPr>
              <w:t>oraz wideoprzewodnik dla użytkownika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21827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495DE53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7EF59C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0D8AD041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7D0872D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DEBAA3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Wbudowana bateria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CAAF1A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04956A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BE4DAF3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75B07524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BE6552" w14:paraId="230645DC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640FED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C3C76C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Łączność poprzez WiFi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FC64948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F64133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3006B0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4B7D5A84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NIE – 0 pkt</w:t>
            </w:r>
          </w:p>
        </w:tc>
      </w:tr>
      <w:tr w:rsidR="00BE6552" w14:paraId="1AE98A58" w14:textId="77777777">
        <w:trPr>
          <w:trHeight w:val="1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B2BC79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F54698" w14:textId="77777777" w:rsidR="00BE6552" w:rsidRDefault="00000000">
            <w:pPr>
              <w:widowControl w:val="0"/>
              <w:tabs>
                <w:tab w:val="left" w:pos="142"/>
              </w:tabs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integracji z systemem HIS używanym u Zamawiającego – Medinet produkcji MEDICOM</w:t>
            </w:r>
            <w:r w:rsidR="00A1102F">
              <w:rPr>
                <w:sz w:val="20"/>
                <w:szCs w:val="20"/>
              </w:rPr>
              <w:t xml:space="preserve">. </w:t>
            </w:r>
            <w:sdt>
              <w:sdtPr>
                <w:tag w:val="goog_rdk_0"/>
                <w:id w:val="385057374"/>
              </w:sdtPr>
              <w:sdtContent>
                <w:r w:rsidR="00A1102F">
                  <w:rPr>
                    <w:sz w:val="20"/>
                    <w:szCs w:val="20"/>
                  </w:rPr>
                  <w:t xml:space="preserve"> </w:t>
                </w:r>
                <w:sdt>
                  <w:sdtPr>
                    <w:tag w:val="goog_rdk_1"/>
                    <w:id w:val="480602507"/>
                    <w:showingPlcHdr/>
                  </w:sdtPr>
                  <w:sdtContent>
                    <w:r w:rsidR="00A1102F">
                      <w:t xml:space="preserve">     </w:t>
                    </w:r>
                  </w:sdtContent>
                </w:sdt>
                <w:sdt>
                  <w:sdtPr>
                    <w:tag w:val="goog_rdk_2"/>
                    <w:id w:val="1185322206"/>
                  </w:sdtPr>
                  <w:sdtContent/>
                </w:sdt>
                <w:r w:rsidR="00A1102F">
                  <w:rPr>
                    <w:sz w:val="20"/>
                    <w:szCs w:val="20"/>
                  </w:rPr>
                  <w:t>Zapewnienie dwukierunkowej komunikacji</w:t>
                </w:r>
              </w:sdtContent>
            </w:sdt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A230DA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A38E9CB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6DFF57" w14:textId="77777777" w:rsidR="00BE6552" w:rsidRDefault="00BE655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E6552" w14:paraId="3B4ED169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C6D0E5D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CCC8B2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Przeszkolenie personelu z obsługi analizatora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13C365F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FEAEF5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8ABBAE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061E5265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C482C2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D92F9B" w14:textId="78347B04" w:rsidR="00BE6552" w:rsidRDefault="00C43F5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</w:t>
            </w:r>
            <w:r w:rsidR="00000000">
              <w:rPr>
                <w:sz w:val="20"/>
                <w:szCs w:val="20"/>
              </w:rPr>
              <w:t xml:space="preserve"> zestawie uwzględniony co najmniej jeden startowy zestaw kaset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1043310" w14:textId="25856AA7" w:rsidR="00BE6552" w:rsidRDefault="00C43F59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27B9EA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28F7F94" w14:textId="646AE1C8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3907A31A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44BA97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B0D34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 zestawie stojak/wózek na kółkach (dla zapewnienia mobilności)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BA55815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130CDA9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4E906E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16717DCD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08FFCC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4A2FC4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Sprzęt kompatybilny z dyrektywą RoHS 2011/65/EU w sprawie ograniczenia stosowania niektórych niebezpiecznych substancji w sprzęcie elektrycznym i elektronicznym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A17596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CCCBCB9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570E0EB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25A5556C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AF3E091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8FACBE8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Wsparcie techniczne dla analizatora w zakresie materiałów eksploatacyjnych i części zamiennych przez co najmniej 3 lata od daty wycofania analizatora ze sprzedaży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6D43B8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CBCBC6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F555448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do 4 lat – 0 pkt</w:t>
            </w:r>
          </w:p>
          <w:p w14:paraId="278F1078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3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&gt; 4 lat - </w:t>
            </w:r>
            <w:r w:rsidRPr="00A1102F">
              <w:rPr>
                <w:color w:val="000000"/>
                <w:sz w:val="20"/>
                <w:szCs w:val="20"/>
              </w:rPr>
              <w:t>≤</w:t>
            </w:r>
            <w:r>
              <w:rPr>
                <w:color w:val="000000"/>
                <w:sz w:val="20"/>
                <w:szCs w:val="20"/>
              </w:rPr>
              <w:t xml:space="preserve"> 5 lat – 5 pkt</w:t>
            </w:r>
          </w:p>
          <w:p w14:paraId="36779BEB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 w:rsidRPr="00A1102F">
              <w:rPr>
                <w:sz w:val="20"/>
                <w:szCs w:val="20"/>
              </w:rPr>
              <w:t>&gt;</w:t>
            </w:r>
            <w:r>
              <w:rPr>
                <w:sz w:val="20"/>
                <w:szCs w:val="20"/>
              </w:rPr>
              <w:t xml:space="preserve"> 5 lat – 10 pkt</w:t>
            </w:r>
          </w:p>
        </w:tc>
      </w:tr>
      <w:tr w:rsidR="00BE6552" w14:paraId="7F873746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2CADBE9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B636504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Możliwość recyklingu elementów urządzenia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272F75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D546FA6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B4C0C79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718A4B71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16076EA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CBE937F" w14:textId="6427EB41" w:rsidR="00BE6552" w:rsidRDefault="00FA2376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Realizacja przedmiotu zamówienia jest zgodna z zasadą „nieczynienia poważnych szkód” (DNSH *) ), w rozumieniu art. 17 rozporządzenia (UE) 2020/852 (rozporządzenie w sprawie taksonomii) w zakresie warunków wymienionych przez Zamawiającego w opisie cech i warunków realizacji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2D5A95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F8FDA3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F274B8E" w14:textId="77777777" w:rsidR="00BE6552" w:rsidRDefault="00BE6552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01331CB2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17D2B7B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9F9EA39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Zakupiony sprzęt wyposażony jest w funkcjonalność /technologie pozwalające na optymalne gospodarowanie tym sprzętem (np. tryb energooszczędny, eco, stand by itp.) 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9B4CB3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7DA2727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1CB885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13DF8662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BE6552" w14:paraId="20FABE5F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0E089E5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16D6A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Przy produkcji sprzętu stosowanie są materiały zgodne z zasadą gospodarki cyrkularnej **)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34CBE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87FEE68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EE9E52C" w14:textId="77777777" w:rsidR="00BE655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TAK – 5 pkt</w:t>
            </w:r>
          </w:p>
          <w:p w14:paraId="0E099736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NIE – 0 pkt</w:t>
            </w:r>
          </w:p>
        </w:tc>
      </w:tr>
      <w:tr w:rsidR="00BE6552" w14:paraId="39DE7A5A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660E7D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46B24B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Wykonawca przekaże Zamawiającemu instrukcję obsługi w wersji papierowej lub elektronicznej (on-</w:t>
            </w:r>
            <w:sdt>
              <w:sdtPr>
                <w:tag w:val="goog_rdk_11"/>
                <w:id w:val="690440008"/>
              </w:sdtPr>
              <w:sdtContent/>
            </w:sdt>
            <w:r>
              <w:rPr>
                <w:sz w:val="20"/>
                <w:szCs w:val="20"/>
              </w:rPr>
              <w:t>line)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32BBC3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85A23D8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51E06FD" w14:textId="77777777" w:rsidR="00BE6552" w:rsidRDefault="00000000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papierowo - 0 pkt</w:t>
            </w:r>
          </w:p>
          <w:p w14:paraId="3BFED281" w14:textId="77777777" w:rsidR="00BE6552" w:rsidRDefault="00000000">
            <w:pPr>
              <w:widowControl w:val="0"/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on-line - 5 pkt</w:t>
            </w:r>
          </w:p>
        </w:tc>
      </w:tr>
      <w:tr w:rsidR="00BE6552" w14:paraId="4DEE7518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708A038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0F74FCD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Okres gwarancji minimum 24 m-cy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BD1B93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D7C7C5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17A3A9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09F474DD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00EE65F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6A89D6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Wykonanie przeglądów technicznych w okresie gwarancji zalecanych przez producenta przedmiotu oferty.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DAA8E64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32591B5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539E81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7809C89C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233E608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0C66A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Czas reakcji na zgłoszenie usterki nie później niż następnego dnia roboczego rozumiane jako dni od pn-pt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CB9CF2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50ACD4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A0334B4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175CAF95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A62061A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D90EFFC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Czas skutecznej naprawy bez użycia części zamiennych </w:t>
            </w:r>
            <w:r>
              <w:rPr>
                <w:sz w:val="20"/>
                <w:szCs w:val="20"/>
              </w:rPr>
              <w:lastRenderedPageBreak/>
              <w:t>licząc od momentu zgłoszenia awarii - max 5 dni robocze rozumiane jako dni od pn-pt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53568A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42BA440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9492D53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159AA927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C8A638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19D89F0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Czas skutecznej naprawy z użyciem części zamiennych licząc od momentu zgłoszenia awarii - max 8 dni roboczych rozumiane jako dni od pn-pt z wyłączeniem dni ustawowo wolnych od pracy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C17CA1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TAK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00D6E810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9155F0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  <w:tr w:rsidR="00BE6552" w14:paraId="68B3B0A7" w14:textId="77777777">
        <w:trPr>
          <w:trHeight w:val="385"/>
        </w:trPr>
        <w:tc>
          <w:tcPr>
            <w:tcW w:w="7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957F30A" w14:textId="77777777" w:rsidR="00BE6552" w:rsidRDefault="00BE6552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Aptos" w:eastAsia="Aptos" w:hAnsi="Aptos" w:cs="Aptos"/>
                <w:color w:val="000000"/>
                <w:sz w:val="20"/>
                <w:szCs w:val="20"/>
              </w:rPr>
            </w:pPr>
          </w:p>
        </w:tc>
        <w:tc>
          <w:tcPr>
            <w:tcW w:w="51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6E13B779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Informacje o usterce / awarii należy zgłaszać na mail / telefon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5728BEE" w14:textId="77777777" w:rsidR="00BE6552" w:rsidRDefault="00000000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Podać dane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66EDD64" w14:textId="77777777" w:rsidR="00BE6552" w:rsidRDefault="00BE6552">
            <w:pPr>
              <w:widowControl w:val="0"/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62FF416" w14:textId="77777777" w:rsidR="00BE6552" w:rsidRDefault="00BE65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</w:p>
        </w:tc>
      </w:tr>
    </w:tbl>
    <w:p w14:paraId="508CED81" w14:textId="77777777" w:rsidR="00BE6552" w:rsidRDefault="00BE6552">
      <w:pPr>
        <w:rPr>
          <w:rFonts w:ascii="Arial Narrow" w:eastAsia="Arial Narrow" w:hAnsi="Arial Narrow" w:cs="Arial Narrow"/>
          <w:sz w:val="18"/>
          <w:szCs w:val="18"/>
        </w:rPr>
      </w:pPr>
    </w:p>
    <w:p w14:paraId="49804AD9" w14:textId="77777777" w:rsidR="00BE6552" w:rsidRDefault="00000000">
      <w:pPr>
        <w:spacing w:after="60" w:line="240" w:lineRule="auto"/>
        <w:rPr>
          <w:sz w:val="18"/>
          <w:szCs w:val="18"/>
        </w:rPr>
      </w:pPr>
      <w:r>
        <w:rPr>
          <w:sz w:val="18"/>
          <w:szCs w:val="18"/>
        </w:rPr>
        <w:t>*) Zasada DNSH (ang. Do No Significant Harm), czyli „nie czyń poważnych szkód”- Rozporządzenie Parlamentu Europejskiego i Rady (UE) 2020/852 z dnia 18 czerwca 2020 r. w sprawie ustanowienia ram ułatwiających zrównoważone inwestycje tzw. Taksonomia</w:t>
      </w:r>
    </w:p>
    <w:p w14:paraId="59C450A1" w14:textId="77777777" w:rsidR="00BE6552" w:rsidRDefault="00000000">
      <w:pPr>
        <w:spacing w:after="0" w:line="240" w:lineRule="auto"/>
        <w:rPr>
          <w:sz w:val="18"/>
          <w:szCs w:val="18"/>
        </w:rPr>
      </w:pPr>
      <w:r>
        <w:rPr>
          <w:sz w:val="18"/>
          <w:szCs w:val="18"/>
        </w:rPr>
        <w:t>**) Gospodarka cyrkularna (inaczej Gospodarka Obiegu Zamkniętego) to model gospodarki, w którym produkty i usługi są przedmiotem obrotu w zamkniętych pętlach lub cyklach. Głównym celem gospodarki o obiegu zamkniętym jest projektowanie procesów produkcyjnych w taki sposób, aby możliwe było utrzymanie jak największej wartości produktów, części i materiałów. Kluczową kwestią jest stworzenie systemu pozwalającego na tworzenie towarów o długiej żywotności, optymalizowanie procesów ponownego użycia, renowacji, reprodukcji i recyklingu wszelkich produktów i materiałów</w:t>
      </w:r>
    </w:p>
    <w:p w14:paraId="5B561C9C" w14:textId="77777777" w:rsidR="00BE6552" w:rsidRDefault="00BE6552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spacing w:after="0" w:line="240" w:lineRule="auto"/>
        <w:rPr>
          <w:b/>
          <w:bCs/>
          <w:color w:val="000000"/>
          <w:sz w:val="20"/>
          <w:szCs w:val="20"/>
        </w:rPr>
      </w:pPr>
    </w:p>
    <w:p w14:paraId="11946AA3" w14:textId="77777777" w:rsidR="00BE6552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  <w:tab w:val="left" w:pos="993"/>
        </w:tabs>
        <w:spacing w:after="0" w:line="240" w:lineRule="auto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>Wypełniając tabelę należy :</w:t>
      </w:r>
    </w:p>
    <w:p w14:paraId="05CB9A27" w14:textId="77777777" w:rsidR="00BE6552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426" w:hanging="425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</w:rPr>
        <w:t xml:space="preserve">w przypadku parametrów obligatoryjnych – wpisać </w:t>
      </w:r>
      <w:r>
        <w:rPr>
          <w:color w:val="000000"/>
          <w:sz w:val="20"/>
          <w:szCs w:val="20"/>
          <w:u w:val="single"/>
        </w:rPr>
        <w:t>co najmniej</w:t>
      </w:r>
      <w:r>
        <w:rPr>
          <w:color w:val="000000"/>
          <w:sz w:val="20"/>
          <w:szCs w:val="20"/>
        </w:rPr>
        <w:t xml:space="preserve"> właściwe słowo „TAK” lub „NIE” w zależności od tego, czy proponowany sprzęt spełnia wskazany parametr. Brak wypełnienia choćby jednego wiersza w kolumnie „</w:t>
      </w:r>
      <w:r>
        <w:rPr>
          <w:b/>
          <w:bCs/>
          <w:color w:val="000000"/>
          <w:sz w:val="20"/>
          <w:szCs w:val="20"/>
        </w:rPr>
        <w:t xml:space="preserve">Wartość oferowana” </w:t>
      </w:r>
      <w:r>
        <w:rPr>
          <w:color w:val="000000"/>
          <w:sz w:val="20"/>
          <w:szCs w:val="20"/>
        </w:rPr>
        <w:t>w tabeli parametrów technicznych wg Załącznika nr 2 lub brak wskazania tej informacji w innym miejscu dokumentów składających się na ofertę - spowoduje uruchomienie procedury wyjaśniania treści oferty;</w:t>
      </w:r>
    </w:p>
    <w:p w14:paraId="6EE580B7" w14:textId="77777777" w:rsidR="00BE655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Brak wypełnienia choćby jednego wiersza dla parametrów podlegających ocenie za jakość w kolumnie </w:t>
      </w:r>
      <w:r>
        <w:rPr>
          <w:b/>
          <w:bCs/>
          <w:color w:val="000000"/>
          <w:sz w:val="20"/>
          <w:szCs w:val="20"/>
        </w:rPr>
        <w:t>„Wartość oferowana”</w:t>
      </w:r>
      <w:r>
        <w:rPr>
          <w:color w:val="000000"/>
          <w:sz w:val="20"/>
          <w:szCs w:val="20"/>
        </w:rPr>
        <w:t xml:space="preserve"> w tabeli parametrów technicznych (jak również brak wpisania informacji we właściwych opisowi parametru jednostkach lub rodzajowi danych) - spowoduje przyznanie 0 punktów dla danego podkryterium; </w:t>
      </w:r>
    </w:p>
    <w:p w14:paraId="7587CF4F" w14:textId="77777777" w:rsidR="00BE655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84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b) umieszczać wiarygodne i zgodne ze stanem faktycznym informacje; odrzucenie oferty spowoduje podanie wyższych/lepszych opisów dla cech oferowanego przedmiotu zamówienia niż wynika to z innych dokumentów załączonych do oferty i/lub przekazanych przez Wykonawcę na wezwanie Zamawiającego i/lub udzielonych wyjaśnień.</w:t>
      </w:r>
    </w:p>
    <w:p w14:paraId="7628FA04" w14:textId="77777777" w:rsidR="00BE6552" w:rsidRDefault="00BE6552">
      <w:pPr>
        <w:spacing w:after="0" w:line="240" w:lineRule="auto"/>
      </w:pPr>
    </w:p>
    <w:sectPr w:rsidR="00BE6552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BBAD5" w14:textId="77777777" w:rsidR="00641D33" w:rsidRDefault="00641D33">
      <w:pPr>
        <w:spacing w:after="0" w:line="240" w:lineRule="auto"/>
      </w:pPr>
      <w:r>
        <w:separator/>
      </w:r>
    </w:p>
  </w:endnote>
  <w:endnote w:type="continuationSeparator" w:id="0">
    <w:p w14:paraId="6BF8B929" w14:textId="77777777" w:rsidR="00641D33" w:rsidRDefault="00641D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4770424E-AB14-4BB4-A344-49A30ADC1E2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7D45605B-B28F-4E5D-AB9A-ABC1E96E2DEE}"/>
    <w:embedBold r:id="rId3" w:fontKey="{FD7B0284-8C6B-48ED-B8EB-C8AB177FA8BE}"/>
    <w:embedItalic r:id="rId4" w:fontKey="{45115C79-EE12-40FC-8511-F8957E4FDEE1}"/>
    <w:embedBoldItalic r:id="rId5" w:fontKey="{E7A9907E-F908-470F-8CF7-E2F29D07B4B1}"/>
  </w:font>
  <w:font w:name="Play">
    <w:charset w:val="00"/>
    <w:family w:val="auto"/>
    <w:pitch w:val="default"/>
    <w:embedRegular r:id="rId6" w:fontKey="{350F5A6D-B146-43B4-99C3-D0ECB56D71F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E2712376-6326-4ABF-9DF8-CB11A2061724}"/>
    <w:embedItalic r:id="rId8" w:fontKey="{BF670F01-3F17-4116-90AD-8514E801341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9" w:fontKey="{FFFA5CCD-890C-4DB6-A83B-8A32B5D476E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0" w:fontKey="{DC3815A7-BF7F-43EC-B805-C5DE135FA8C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1EE499" w14:textId="7B60F1A4" w:rsidR="00BC3B10" w:rsidRPr="00611922" w:rsidRDefault="00BC3B10" w:rsidP="00611922">
    <w:pPr>
      <w:pStyle w:val="Stopka"/>
      <w:pBdr>
        <w:top w:val="single" w:sz="4" w:space="1" w:color="auto"/>
      </w:pBdr>
      <w:jc w:val="center"/>
      <w:rPr>
        <w:sz w:val="18"/>
        <w:szCs w:val="18"/>
      </w:rPr>
    </w:pPr>
    <w:r w:rsidRPr="00611922">
      <w:rPr>
        <w:sz w:val="18"/>
        <w:szCs w:val="18"/>
      </w:rPr>
      <w:t>Załącznik nr 2.2 do Zapytania ofertowego</w:t>
    </w:r>
  </w:p>
  <w:p w14:paraId="4BC3FBAF" w14:textId="58C00D98" w:rsidR="00BC3B10" w:rsidRPr="00611922" w:rsidRDefault="00BC3B10">
    <w:pPr>
      <w:pStyle w:val="Stopka"/>
      <w:jc w:val="center"/>
      <w:rPr>
        <w:sz w:val="18"/>
        <w:szCs w:val="18"/>
      </w:rPr>
    </w:pPr>
    <w:r w:rsidRPr="00611922">
      <w:rPr>
        <w:sz w:val="18"/>
        <w:szCs w:val="18"/>
      </w:rPr>
      <w:t>Opis przedmiotu zamówienia dla zadania nr 2</w:t>
    </w:r>
  </w:p>
  <w:sdt>
    <w:sdtPr>
      <w:rPr>
        <w:sz w:val="18"/>
        <w:szCs w:val="18"/>
      </w:rPr>
      <w:id w:val="-1397350086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sdt>
        <w:sdtPr>
          <w:rPr>
            <w:sz w:val="18"/>
            <w:szCs w:val="18"/>
          </w:rPr>
          <w:id w:val="1728636285"/>
          <w:docPartObj>
            <w:docPartGallery w:val="Page Numbers (Top of Page)"/>
            <w:docPartUnique/>
          </w:docPartObj>
        </w:sdtPr>
        <w:sdtContent>
          <w:p w14:paraId="360205B2" w14:textId="77777777" w:rsidR="00BC3B10" w:rsidRPr="00611922" w:rsidRDefault="00BC3B10">
            <w:pPr>
              <w:pStyle w:val="Stopka"/>
              <w:jc w:val="center"/>
              <w:rPr>
                <w:sz w:val="18"/>
                <w:szCs w:val="18"/>
              </w:rPr>
            </w:pPr>
          </w:p>
          <w:p w14:paraId="241FBE25" w14:textId="1DB425FA" w:rsidR="00BC3B10" w:rsidRDefault="00BC3B10" w:rsidP="00611922">
            <w:pPr>
              <w:pStyle w:val="Stopka"/>
              <w:jc w:val="right"/>
            </w:pPr>
            <w:r w:rsidRPr="00611922">
              <w:rPr>
                <w:sz w:val="18"/>
                <w:szCs w:val="18"/>
                <w:lang w:val="pl-PL"/>
              </w:rPr>
              <w:t xml:space="preserve">Strona </w:t>
            </w:r>
            <w:r w:rsidRPr="00611922">
              <w:rPr>
                <w:b/>
                <w:bCs/>
                <w:sz w:val="18"/>
                <w:szCs w:val="18"/>
              </w:rPr>
              <w:fldChar w:fldCharType="begin"/>
            </w:r>
            <w:r w:rsidRPr="00611922">
              <w:rPr>
                <w:b/>
                <w:bCs/>
                <w:sz w:val="18"/>
                <w:szCs w:val="18"/>
              </w:rPr>
              <w:instrText>PAGE</w:instrText>
            </w:r>
            <w:r w:rsidRPr="00611922">
              <w:rPr>
                <w:b/>
                <w:bCs/>
                <w:sz w:val="18"/>
                <w:szCs w:val="18"/>
              </w:rPr>
              <w:fldChar w:fldCharType="separate"/>
            </w:r>
            <w:r w:rsidRPr="00611922">
              <w:rPr>
                <w:b/>
                <w:bCs/>
                <w:sz w:val="18"/>
                <w:szCs w:val="18"/>
                <w:lang w:val="pl-PL"/>
              </w:rPr>
              <w:t>2</w:t>
            </w:r>
            <w:r w:rsidRPr="00611922">
              <w:rPr>
                <w:b/>
                <w:bCs/>
                <w:sz w:val="18"/>
                <w:szCs w:val="18"/>
              </w:rPr>
              <w:fldChar w:fldCharType="end"/>
            </w:r>
            <w:r w:rsidRPr="00611922">
              <w:rPr>
                <w:sz w:val="18"/>
                <w:szCs w:val="18"/>
                <w:lang w:val="pl-PL"/>
              </w:rPr>
              <w:t xml:space="preserve"> z </w:t>
            </w:r>
            <w:r w:rsidRPr="00611922">
              <w:rPr>
                <w:b/>
                <w:bCs/>
                <w:sz w:val="18"/>
                <w:szCs w:val="18"/>
              </w:rPr>
              <w:fldChar w:fldCharType="begin"/>
            </w:r>
            <w:r w:rsidRPr="00611922">
              <w:rPr>
                <w:b/>
                <w:bCs/>
                <w:sz w:val="18"/>
                <w:szCs w:val="18"/>
              </w:rPr>
              <w:instrText>NUMPAGES</w:instrText>
            </w:r>
            <w:r w:rsidRPr="00611922">
              <w:rPr>
                <w:b/>
                <w:bCs/>
                <w:sz w:val="18"/>
                <w:szCs w:val="18"/>
              </w:rPr>
              <w:fldChar w:fldCharType="separate"/>
            </w:r>
            <w:r w:rsidRPr="00611922">
              <w:rPr>
                <w:b/>
                <w:bCs/>
                <w:sz w:val="18"/>
                <w:szCs w:val="18"/>
                <w:lang w:val="pl-PL"/>
              </w:rPr>
              <w:t>2</w:t>
            </w:r>
            <w:r w:rsidRPr="00611922">
              <w:rPr>
                <w:b/>
                <w:bCs/>
                <w:sz w:val="18"/>
                <w:szCs w:val="18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063EDA" w14:textId="77777777" w:rsidR="00641D33" w:rsidRDefault="00641D33">
      <w:pPr>
        <w:spacing w:after="0" w:line="240" w:lineRule="auto"/>
      </w:pPr>
      <w:r>
        <w:separator/>
      </w:r>
    </w:p>
  </w:footnote>
  <w:footnote w:type="continuationSeparator" w:id="0">
    <w:p w14:paraId="24AB6B4B" w14:textId="77777777" w:rsidR="00641D33" w:rsidRDefault="00641D3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E31D04" w14:textId="77777777" w:rsidR="00BE65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Arial" w:eastAsia="Arial" w:hAnsi="Arial" w:cs="Arial"/>
        <w:b/>
        <w:bCs/>
        <w:i/>
        <w:iCs/>
        <w:color w:val="000000"/>
        <w:sz w:val="18"/>
        <w:szCs w:val="18"/>
      </w:rPr>
    </w:pPr>
    <w:bookmarkStart w:id="0" w:name="_heading=h.4a5mukswvyg4" w:colFirst="0" w:colLast="0"/>
    <w:bookmarkEnd w:id="0"/>
    <w:r>
      <w:rPr>
        <w:noProof/>
        <w:color w:val="000000"/>
      </w:rPr>
      <w:drawing>
        <wp:inline distT="0" distB="0" distL="0" distR="0" wp14:anchorId="1C144071" wp14:editId="4FF8E154">
          <wp:extent cx="5759450" cy="572644"/>
          <wp:effectExtent l="0" t="0" r="0" b="0"/>
          <wp:docPr id="1402779044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50" cy="57264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74DCDE8B" w14:textId="77777777" w:rsidR="00BE6552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  <w:r>
      <w:rPr>
        <w:rFonts w:ascii="Arial" w:eastAsia="Arial" w:hAnsi="Arial" w:cs="Arial"/>
        <w:b/>
        <w:bCs/>
        <w:i/>
        <w:iCs/>
        <w:color w:val="000000"/>
        <w:sz w:val="16"/>
        <w:szCs w:val="16"/>
      </w:rPr>
      <w:t>Nr postępowania 2.26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02D6505"/>
    <w:multiLevelType w:val="multilevel"/>
    <w:tmpl w:val="7CB4AB00"/>
    <w:lvl w:ilvl="0">
      <w:start w:val="1"/>
      <w:numFmt w:val="lowerLetter"/>
      <w:lvlText w:val="%1)"/>
      <w:lvlJc w:val="left"/>
      <w:pPr>
        <w:ind w:left="1711" w:hanging="360"/>
      </w:pPr>
    </w:lvl>
    <w:lvl w:ilvl="1">
      <w:start w:val="1"/>
      <w:numFmt w:val="bullet"/>
      <w:lvlText w:val="o"/>
      <w:lvlJc w:val="left"/>
      <w:pPr>
        <w:ind w:left="243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5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7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59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1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3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5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71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764B632E"/>
    <w:multiLevelType w:val="multilevel"/>
    <w:tmpl w:val="548AC6F6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66441374">
    <w:abstractNumId w:val="1"/>
  </w:num>
  <w:num w:numId="2" w16cid:durableId="16188712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E6552"/>
    <w:rsid w:val="00063F5B"/>
    <w:rsid w:val="00190D74"/>
    <w:rsid w:val="002C723C"/>
    <w:rsid w:val="002D2A17"/>
    <w:rsid w:val="0043118E"/>
    <w:rsid w:val="004E0F11"/>
    <w:rsid w:val="004F14C5"/>
    <w:rsid w:val="0051443F"/>
    <w:rsid w:val="00611922"/>
    <w:rsid w:val="00641D33"/>
    <w:rsid w:val="00703559"/>
    <w:rsid w:val="007F6B94"/>
    <w:rsid w:val="00883E27"/>
    <w:rsid w:val="00A1102F"/>
    <w:rsid w:val="00AA1867"/>
    <w:rsid w:val="00B160A7"/>
    <w:rsid w:val="00BC3B10"/>
    <w:rsid w:val="00BE6552"/>
    <w:rsid w:val="00C43F59"/>
    <w:rsid w:val="00D40224"/>
    <w:rsid w:val="00D74D0D"/>
    <w:rsid w:val="00FA23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CE759F"/>
  <w15:docId w15:val="{E3281634-E5DF-4F63-846D-644DF3CF64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60" w:after="80" w:line="278" w:lineRule="auto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160" w:after="80" w:line="278" w:lineRule="auto"/>
      <w:outlineLvl w:val="2"/>
    </w:pPr>
    <w:rPr>
      <w:rFonts w:ascii="Aptos" w:eastAsia="Aptos" w:hAnsi="Aptos" w:cs="Aptos"/>
      <w:color w:val="0F4761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3"/>
    </w:pPr>
    <w:rPr>
      <w:rFonts w:ascii="Aptos" w:eastAsia="Aptos" w:hAnsi="Aptos" w:cs="Aptos"/>
      <w:i/>
      <w:iCs/>
      <w:color w:val="0F4761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80" w:after="40" w:line="278" w:lineRule="auto"/>
      <w:outlineLvl w:val="4"/>
    </w:pPr>
    <w:rPr>
      <w:rFonts w:ascii="Aptos" w:eastAsia="Aptos" w:hAnsi="Aptos" w:cs="Aptos"/>
      <w:color w:val="0F4761"/>
      <w:sz w:val="24"/>
      <w:szCs w:val="24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 w:line="278" w:lineRule="auto"/>
      <w:outlineLvl w:val="5"/>
    </w:pPr>
    <w:rPr>
      <w:rFonts w:ascii="Aptos" w:eastAsia="Aptos" w:hAnsi="Aptos" w:cs="Aptos"/>
      <w:i/>
      <w:iCs/>
      <w:color w:val="595959"/>
      <w:sz w:val="24"/>
      <w:szCs w:val="24"/>
    </w:rPr>
  </w:style>
  <w:style w:type="paragraph" w:styleId="Nagwek7">
    <w:name w:val="heading 7"/>
    <w:link w:val="Nagwek7Znak"/>
    <w:uiPriority w:val="9"/>
    <w:semiHidden/>
    <w:unhideWhenUsed/>
    <w:qFormat/>
    <w:rsid w:val="003E6552"/>
    <w:pPr>
      <w:keepNext/>
      <w:keepLines/>
      <w:spacing w:before="40" w:after="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eastAsia="zh-CN"/>
    </w:rPr>
  </w:style>
  <w:style w:type="paragraph" w:styleId="Nagwek8">
    <w:name w:val="heading 8"/>
    <w:link w:val="Nagwek8Znak"/>
    <w:uiPriority w:val="9"/>
    <w:semiHidden/>
    <w:unhideWhenUsed/>
    <w:qFormat/>
    <w:rsid w:val="003E6552"/>
    <w:pPr>
      <w:keepNext/>
      <w:keepLines/>
      <w:spacing w:after="0"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eastAsia="zh-CN"/>
    </w:rPr>
  </w:style>
  <w:style w:type="paragraph" w:styleId="Nagwek9">
    <w:name w:val="heading 9"/>
    <w:link w:val="Nagwek9Znak"/>
    <w:uiPriority w:val="9"/>
    <w:semiHidden/>
    <w:unhideWhenUsed/>
    <w:qFormat/>
    <w:rsid w:val="003E6552"/>
    <w:pPr>
      <w:keepNext/>
      <w:keepLines/>
      <w:spacing w:after="0"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gwek1Znak">
    <w:name w:val="Nagłówek 1 Znak"/>
    <w:basedOn w:val="Domylnaczcionkaakapitu"/>
    <w:uiPriority w:val="9"/>
    <w:rsid w:val="003E655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uiPriority w:val="9"/>
    <w:semiHidden/>
    <w:rsid w:val="003E655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uiPriority w:val="9"/>
    <w:semiHidden/>
    <w:rsid w:val="003E655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uiPriority w:val="9"/>
    <w:semiHidden/>
    <w:rsid w:val="003E655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uiPriority w:val="9"/>
    <w:semiHidden/>
    <w:rsid w:val="003E655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uiPriority w:val="9"/>
    <w:semiHidden/>
    <w:rsid w:val="003E655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E655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E655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E6552"/>
    <w:rPr>
      <w:rFonts w:eastAsiaTheme="majorEastAsia" w:cstheme="majorBidi"/>
      <w:color w:val="272727" w:themeColor="text1" w:themeTint="D8"/>
    </w:rPr>
  </w:style>
  <w:style w:type="character" w:customStyle="1" w:styleId="TytuZnak">
    <w:name w:val="Tytuł Znak"/>
    <w:basedOn w:val="Domylnaczcionkaakapitu"/>
    <w:uiPriority w:val="10"/>
    <w:rsid w:val="003E65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odtytuZnak">
    <w:name w:val="Podtytuł Znak"/>
    <w:basedOn w:val="Domylnaczcionkaakapitu"/>
    <w:uiPriority w:val="11"/>
    <w:rsid w:val="003E655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link w:val="CytatZnak"/>
    <w:uiPriority w:val="29"/>
    <w:qFormat/>
    <w:rsid w:val="003E6552"/>
    <w:pPr>
      <w:spacing w:before="160" w:after="160" w:line="278" w:lineRule="auto"/>
      <w:jc w:val="center"/>
    </w:pPr>
    <w:rPr>
      <w:rFonts w:asciiTheme="minorHAnsi" w:eastAsiaTheme="minorEastAsia" w:hAnsiTheme="minorHAnsi" w:cstheme="minorBidi"/>
      <w:i/>
      <w:iCs/>
      <w:color w:val="404040" w:themeColor="text1" w:themeTint="BF"/>
      <w:kern w:val="2"/>
      <w:sz w:val="24"/>
      <w:szCs w:val="24"/>
      <w:lang w:eastAsia="zh-CN"/>
    </w:rPr>
  </w:style>
  <w:style w:type="character" w:customStyle="1" w:styleId="CytatZnak">
    <w:name w:val="Cytat Znak"/>
    <w:basedOn w:val="Domylnaczcionkaakapitu"/>
    <w:link w:val="Cytat"/>
    <w:uiPriority w:val="29"/>
    <w:rsid w:val="003E6552"/>
    <w:rPr>
      <w:i/>
      <w:iCs/>
      <w:color w:val="404040" w:themeColor="text1" w:themeTint="BF"/>
    </w:rPr>
  </w:style>
  <w:style w:type="paragraph" w:styleId="Akapitzlist">
    <w:name w:val="List Paragraph"/>
    <w:aliases w:val="Normal,Akapit z listą3,Akapit z listą31,Wypunktowanie,List Paragraph,Normal2,L1,Numerowanie,sw tekst,Adresat stanowisko,Akapit z listą BS,Kolorowa lista — akcent 11,Bulleted list,lp1,Preambuła,Colorful Shading - Accent 31,Akapit z listą5"/>
    <w:link w:val="AkapitzlistZnak"/>
    <w:uiPriority w:val="34"/>
    <w:qFormat/>
    <w:rsid w:val="003E6552"/>
    <w:pPr>
      <w:spacing w:after="160" w:line="278" w:lineRule="auto"/>
      <w:ind w:left="720"/>
      <w:contextualSpacing/>
    </w:pPr>
    <w:rPr>
      <w:rFonts w:asciiTheme="minorHAnsi" w:eastAsiaTheme="minorEastAsia" w:hAnsiTheme="minorHAnsi" w:cstheme="minorBidi"/>
      <w:kern w:val="2"/>
      <w:sz w:val="24"/>
      <w:szCs w:val="24"/>
      <w:lang w:eastAsia="zh-CN"/>
    </w:rPr>
  </w:style>
  <w:style w:type="character" w:styleId="Wyrnienieintensywne">
    <w:name w:val="Intense Emphasis"/>
    <w:basedOn w:val="Domylnaczcionkaakapitu"/>
    <w:uiPriority w:val="21"/>
    <w:qFormat/>
    <w:rsid w:val="003E6552"/>
    <w:rPr>
      <w:i/>
      <w:iCs/>
      <w:color w:val="0F4761" w:themeColor="accent1" w:themeShade="BF"/>
    </w:rPr>
  </w:style>
  <w:style w:type="paragraph" w:styleId="Cytatintensywny">
    <w:name w:val="Intense Quote"/>
    <w:link w:val="CytatintensywnyZnak"/>
    <w:uiPriority w:val="30"/>
    <w:qFormat/>
    <w:rsid w:val="003E65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eastAsiaTheme="minorEastAsia" w:hAnsiTheme="minorHAnsi" w:cstheme="minorBidi"/>
      <w:i/>
      <w:iCs/>
      <w:color w:val="0F4761" w:themeColor="accent1" w:themeShade="BF"/>
      <w:kern w:val="2"/>
      <w:sz w:val="24"/>
      <w:szCs w:val="24"/>
      <w:lang w:eastAsia="zh-CN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E655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3E6552"/>
    <w:rPr>
      <w:b/>
      <w:bCs/>
      <w:smallCaps/>
      <w:color w:val="0F4761" w:themeColor="accent1" w:themeShade="BF"/>
      <w:spacing w:val="5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Odwoaniedokomentarza">
    <w:name w:val="annotation reference"/>
    <w:basedOn w:val="Domylnaczcionkaakapitu"/>
    <w:uiPriority w:val="99"/>
    <w:unhideWhenUsed/>
    <w:qFormat/>
    <w:rsid w:val="008C574C"/>
    <w:rPr>
      <w:sz w:val="16"/>
      <w:szCs w:val="16"/>
    </w:rPr>
  </w:style>
  <w:style w:type="paragraph" w:styleId="Tekstkomentarza">
    <w:name w:val="annotation text"/>
    <w:link w:val="TekstkomentarzaZnak"/>
    <w:unhideWhenUsed/>
    <w:qFormat/>
    <w:rsid w:val="008C574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qFormat/>
    <w:rsid w:val="008C574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C574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C574C"/>
    <w:rPr>
      <w:b/>
      <w:bCs/>
      <w:sz w:val="20"/>
      <w:szCs w:val="20"/>
    </w:rPr>
  </w:style>
  <w:style w:type="paragraph" w:styleId="Poprawka">
    <w:name w:val="Revision"/>
    <w:hidden/>
    <w:uiPriority w:val="99"/>
    <w:semiHidden/>
    <w:rsid w:val="008C574C"/>
    <w:pPr>
      <w:spacing w:after="0" w:line="240" w:lineRule="auto"/>
    </w:pPr>
  </w:style>
  <w:style w:type="paragraph" w:customStyle="1" w:styleId="Tekstpodstawowy32">
    <w:name w:val="Tekst podstawowy 32"/>
    <w:rsid w:val="0097787F"/>
    <w:pPr>
      <w:suppressAutoHyphens/>
      <w:spacing w:after="120" w:line="240" w:lineRule="auto"/>
    </w:pPr>
    <w:rPr>
      <w:rFonts w:ascii="Times New Roman" w:hAnsi="Times New Roman" w:cs="Times New Roman"/>
      <w:sz w:val="16"/>
      <w:szCs w:val="16"/>
      <w:lang w:val="pl-PL" w:eastAsia="ar-SA"/>
    </w:rPr>
  </w:style>
  <w:style w:type="paragraph" w:styleId="Nagwek">
    <w:name w:val="header"/>
    <w:link w:val="NagwekZnak"/>
    <w:unhideWhenUsed/>
    <w:rsid w:val="00C611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611AB"/>
  </w:style>
  <w:style w:type="paragraph" w:styleId="Stopka">
    <w:name w:val="footer"/>
    <w:aliases w:val=" Znak,Znak"/>
    <w:link w:val="StopkaZnak"/>
    <w:uiPriority w:val="99"/>
    <w:unhideWhenUsed/>
    <w:rsid w:val="00C611A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aliases w:val=" Znak Znak,Znak Znak"/>
    <w:basedOn w:val="Domylnaczcionkaakapitu"/>
    <w:link w:val="Stopka"/>
    <w:uiPriority w:val="99"/>
    <w:qFormat/>
    <w:rsid w:val="00C611AB"/>
  </w:style>
  <w:style w:type="character" w:customStyle="1" w:styleId="AkapitzlistZnak">
    <w:name w:val="Akapit z listą Znak"/>
    <w:aliases w:val="Normal Znak,Akapit z listą3 Znak,Akapit z listą31 Znak,Wypunktowanie Znak,List Paragraph Znak,Normal2 Znak,L1 Znak,Numerowanie Znak,sw tekst Znak,Adresat stanowisko Znak,Akapit z listą BS Znak,Kolorowa lista — akcent 11 Znak,lp1 Znak"/>
    <w:link w:val="Akapitzlist"/>
    <w:uiPriority w:val="34"/>
    <w:qFormat/>
    <w:locked/>
    <w:rsid w:val="00C56A9B"/>
    <w:rPr>
      <w:rFonts w:asciiTheme="minorHAnsi" w:eastAsiaTheme="minorEastAsia" w:hAnsiTheme="minorHAnsi" w:cstheme="minorBidi"/>
      <w:kern w:val="2"/>
      <w:sz w:val="24"/>
      <w:szCs w:val="24"/>
      <w:lang w:eastAsia="zh-CN"/>
    </w:rPr>
  </w:style>
  <w:style w:type="paragraph" w:styleId="Podtytu">
    <w:name w:val="Subtitle"/>
    <w:basedOn w:val="Normalny"/>
    <w:next w:val="Normalny"/>
    <w:uiPriority w:val="11"/>
    <w:qFormat/>
    <w:pPr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SnVMkEpDAhw4tynPNFmMjlnEPw==">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970</Words>
  <Characters>5821</Characters>
  <Application>Microsoft Office Word</Application>
  <DocSecurity>0</DocSecurity>
  <Lines>48</Lines>
  <Paragraphs>13</Paragraphs>
  <ScaleCrop>false</ScaleCrop>
  <Company/>
  <LinksUpToDate>false</LinksUpToDate>
  <CharactersWithSpaces>6778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Sylwia</dc:creator>
  <cp:lastModifiedBy>Renata Wadowska</cp:lastModifiedBy>
  <cp:revision>3</cp:revision>
  <dcterms:created xsi:type="dcterms:W3CDTF">2026-02-13T07:40:00Z</dcterms:created>
  <dcterms:modified xsi:type="dcterms:W3CDTF">2026-02-13T11:42:00Z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3094ff5-79ca-456b-95f6-d578316a3809_Enabled">
    <vt:lpwstr>true</vt:lpwstr>
  </property>
  <property fmtid="{D5CDD505-2E9C-101B-9397-08002B2CF9AE}" pid="3" name="MSIP_Label_73094ff5-79ca-456b-95f6-d578316a3809_SetDate">
    <vt:lpwstr>2025-08-25T09:11:53Z</vt:lpwstr>
  </property>
  <property fmtid="{D5CDD505-2E9C-101B-9397-08002B2CF9AE}" pid="4" name="MSIP_Label_73094ff5-79ca-456b-95f6-d578316a3809_Method">
    <vt:lpwstr>Privileged</vt:lpwstr>
  </property>
  <property fmtid="{D5CDD505-2E9C-101B-9397-08002B2CF9AE}" pid="5" name="MSIP_Label_73094ff5-79ca-456b-95f6-d578316a3809_Name">
    <vt:lpwstr>Public</vt:lpwstr>
  </property>
  <property fmtid="{D5CDD505-2E9C-101B-9397-08002B2CF9AE}" pid="6" name="MSIP_Label_73094ff5-79ca-456b-95f6-d578316a3809_SiteId">
    <vt:lpwstr>771c9c47-7f24-44dc-958e-34f8713a8394</vt:lpwstr>
  </property>
  <property fmtid="{D5CDD505-2E9C-101B-9397-08002B2CF9AE}" pid="7" name="MSIP_Label_73094ff5-79ca-456b-95f6-d578316a3809_ActionId">
    <vt:lpwstr>3a895811-65e3-487b-b0e5-088d9ab12cb0</vt:lpwstr>
  </property>
  <property fmtid="{D5CDD505-2E9C-101B-9397-08002B2CF9AE}" pid="8" name="MSIP_Label_73094ff5-79ca-456b-95f6-d578316a3809_ContentBits">
    <vt:lpwstr>0</vt:lpwstr>
  </property>
  <property fmtid="{D5CDD505-2E9C-101B-9397-08002B2CF9AE}" pid="9" name="MSIP_Label_73094ff5-79ca-456b-95f6-d578316a3809_Tag">
    <vt:lpwstr>10, 0, 1, 1</vt:lpwstr>
  </property>
</Properties>
</file>